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487542784">
            <wp:simplePos x="0" y="0"/>
            <wp:positionH relativeFrom="page">
              <wp:posOffset>0</wp:posOffset>
            </wp:positionH>
            <wp:positionV relativeFrom="page">
              <wp:posOffset>3798</wp:posOffset>
            </wp:positionV>
            <wp:extent cx="7557134" cy="1068869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57134" cy="10688698"/>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0"/>
        </w:rPr>
      </w:pPr>
    </w:p>
    <w:p>
      <w:pPr>
        <w:pStyle w:val="BodyText"/>
        <w:ind w:right="112"/>
        <w:jc w:val="right"/>
      </w:pPr>
      <w:r>
        <w:rPr/>
        <w:t>Montevideo, 7 de mayo de 2021</w:t>
      </w:r>
    </w:p>
    <w:p>
      <w:pPr>
        <w:pStyle w:val="BodyText"/>
        <w:rPr>
          <w:sz w:val="24"/>
        </w:rPr>
      </w:pPr>
    </w:p>
    <w:p>
      <w:pPr>
        <w:pStyle w:val="BodyText"/>
        <w:spacing w:before="9"/>
        <w:rPr>
          <w:sz w:val="19"/>
        </w:rPr>
      </w:pPr>
    </w:p>
    <w:p>
      <w:pPr>
        <w:pStyle w:val="BodyText"/>
        <w:ind w:left="100" w:right="343"/>
      </w:pPr>
      <w:r>
        <w:rPr/>
        <w:t>En virtud de la situación sanitaria que vive nuestro país y ante la incertidumbre de las medidas que pueda tomar el Poder Ejecutivo a partir del 16 de mayo, la Comisión Directiva de la Asociación Uruguaya de Volantes se ve en la obligación de posponer la realización de la primera fecha de los campeonatos nacionales de pista, prevista para los días cinco y seis de junio. La primera fecha se disputará los días 26 y 27 de junio.</w:t>
      </w:r>
    </w:p>
    <w:p>
      <w:pPr>
        <w:pStyle w:val="BodyText"/>
        <w:spacing w:before="3"/>
      </w:pPr>
    </w:p>
    <w:p>
      <w:pPr>
        <w:pStyle w:val="BodyText"/>
        <w:ind w:left="100"/>
      </w:pPr>
      <w:r>
        <w:rPr/>
        <w:t>El calendario deportivo 2021 de la institución será el siguiente:</w:t>
      </w:r>
    </w:p>
    <w:p>
      <w:pPr>
        <w:pStyle w:val="BodyText"/>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6"/>
        <w:gridCol w:w="1844"/>
      </w:tblGrid>
      <w:tr>
        <w:trPr>
          <w:trHeight w:val="271" w:hRule="atLeast"/>
        </w:trPr>
        <w:tc>
          <w:tcPr>
            <w:tcW w:w="1976" w:type="dxa"/>
          </w:tcPr>
          <w:p>
            <w:pPr>
              <w:pStyle w:val="TableParagraph"/>
              <w:spacing w:line="250" w:lineRule="exact"/>
              <w:rPr>
                <w:b/>
                <w:sz w:val="22"/>
              </w:rPr>
            </w:pPr>
            <w:r>
              <w:rPr>
                <w:b/>
                <w:sz w:val="22"/>
              </w:rPr>
              <w:t>Mes</w:t>
            </w:r>
          </w:p>
        </w:tc>
        <w:tc>
          <w:tcPr>
            <w:tcW w:w="1844" w:type="dxa"/>
          </w:tcPr>
          <w:p>
            <w:pPr>
              <w:pStyle w:val="TableParagraph"/>
              <w:spacing w:line="250" w:lineRule="exact"/>
              <w:ind w:left="110"/>
              <w:rPr>
                <w:b/>
                <w:sz w:val="22"/>
              </w:rPr>
            </w:pPr>
            <w:r>
              <w:rPr>
                <w:b/>
                <w:sz w:val="22"/>
              </w:rPr>
              <w:t>Días</w:t>
            </w:r>
          </w:p>
        </w:tc>
      </w:tr>
      <w:tr>
        <w:trPr>
          <w:trHeight w:val="256" w:hRule="atLeast"/>
        </w:trPr>
        <w:tc>
          <w:tcPr>
            <w:tcW w:w="1976" w:type="dxa"/>
          </w:tcPr>
          <w:p>
            <w:pPr>
              <w:pStyle w:val="TableParagraph"/>
              <w:spacing w:line="236" w:lineRule="exact"/>
              <w:rPr>
                <w:sz w:val="22"/>
              </w:rPr>
            </w:pPr>
            <w:r>
              <w:rPr>
                <w:sz w:val="22"/>
              </w:rPr>
              <w:t>Junio</w:t>
            </w:r>
          </w:p>
        </w:tc>
        <w:tc>
          <w:tcPr>
            <w:tcW w:w="1844" w:type="dxa"/>
          </w:tcPr>
          <w:p>
            <w:pPr>
              <w:pStyle w:val="TableParagraph"/>
              <w:spacing w:line="236" w:lineRule="exact"/>
              <w:ind w:left="110"/>
              <w:rPr>
                <w:sz w:val="22"/>
              </w:rPr>
            </w:pPr>
            <w:r>
              <w:rPr>
                <w:sz w:val="22"/>
              </w:rPr>
              <w:t>26 y 27</w:t>
            </w:r>
          </w:p>
        </w:tc>
      </w:tr>
      <w:tr>
        <w:trPr>
          <w:trHeight w:val="251" w:hRule="atLeast"/>
        </w:trPr>
        <w:tc>
          <w:tcPr>
            <w:tcW w:w="1976" w:type="dxa"/>
          </w:tcPr>
          <w:p>
            <w:pPr>
              <w:pStyle w:val="TableParagraph"/>
              <w:rPr>
                <w:sz w:val="22"/>
              </w:rPr>
            </w:pPr>
            <w:r>
              <w:rPr>
                <w:sz w:val="22"/>
              </w:rPr>
              <w:t>Agosto</w:t>
            </w:r>
          </w:p>
        </w:tc>
        <w:tc>
          <w:tcPr>
            <w:tcW w:w="1844" w:type="dxa"/>
          </w:tcPr>
          <w:p>
            <w:pPr>
              <w:pStyle w:val="TableParagraph"/>
              <w:ind w:left="110"/>
              <w:rPr>
                <w:sz w:val="22"/>
              </w:rPr>
            </w:pPr>
            <w:r>
              <w:rPr>
                <w:sz w:val="22"/>
              </w:rPr>
              <w:t>7 y 8</w:t>
            </w:r>
          </w:p>
        </w:tc>
      </w:tr>
      <w:tr>
        <w:trPr>
          <w:trHeight w:val="252" w:hRule="atLeast"/>
        </w:trPr>
        <w:tc>
          <w:tcPr>
            <w:tcW w:w="1976" w:type="dxa"/>
          </w:tcPr>
          <w:p>
            <w:pPr>
              <w:pStyle w:val="TableParagraph"/>
              <w:rPr>
                <w:sz w:val="22"/>
              </w:rPr>
            </w:pPr>
            <w:r>
              <w:rPr>
                <w:sz w:val="22"/>
              </w:rPr>
              <w:t>Septiembre</w:t>
            </w:r>
          </w:p>
        </w:tc>
        <w:tc>
          <w:tcPr>
            <w:tcW w:w="1844" w:type="dxa"/>
          </w:tcPr>
          <w:p>
            <w:pPr>
              <w:pStyle w:val="TableParagraph"/>
              <w:ind w:left="110"/>
              <w:rPr>
                <w:sz w:val="22"/>
              </w:rPr>
            </w:pPr>
            <w:r>
              <w:rPr>
                <w:sz w:val="22"/>
              </w:rPr>
              <w:t>4 y 5</w:t>
            </w:r>
          </w:p>
        </w:tc>
      </w:tr>
      <w:tr>
        <w:trPr>
          <w:trHeight w:val="252" w:hRule="atLeast"/>
        </w:trPr>
        <w:tc>
          <w:tcPr>
            <w:tcW w:w="1976" w:type="dxa"/>
          </w:tcPr>
          <w:p>
            <w:pPr>
              <w:pStyle w:val="TableParagraph"/>
              <w:rPr>
                <w:sz w:val="22"/>
              </w:rPr>
            </w:pPr>
            <w:r>
              <w:rPr>
                <w:sz w:val="22"/>
              </w:rPr>
              <w:t>Octubre</w:t>
            </w:r>
          </w:p>
        </w:tc>
        <w:tc>
          <w:tcPr>
            <w:tcW w:w="1844" w:type="dxa"/>
          </w:tcPr>
          <w:p>
            <w:pPr>
              <w:pStyle w:val="TableParagraph"/>
              <w:ind w:left="110"/>
              <w:rPr>
                <w:sz w:val="22"/>
              </w:rPr>
            </w:pPr>
            <w:r>
              <w:rPr>
                <w:sz w:val="22"/>
              </w:rPr>
              <w:t>2 y 3</w:t>
            </w:r>
          </w:p>
        </w:tc>
      </w:tr>
      <w:tr>
        <w:trPr>
          <w:trHeight w:val="256" w:hRule="atLeast"/>
        </w:trPr>
        <w:tc>
          <w:tcPr>
            <w:tcW w:w="1976" w:type="dxa"/>
          </w:tcPr>
          <w:p>
            <w:pPr>
              <w:pStyle w:val="TableParagraph"/>
              <w:spacing w:line="236" w:lineRule="exact"/>
              <w:rPr>
                <w:sz w:val="22"/>
              </w:rPr>
            </w:pPr>
            <w:r>
              <w:rPr>
                <w:sz w:val="22"/>
              </w:rPr>
              <w:t>Noviembre</w:t>
            </w:r>
          </w:p>
        </w:tc>
        <w:tc>
          <w:tcPr>
            <w:tcW w:w="1844" w:type="dxa"/>
          </w:tcPr>
          <w:p>
            <w:pPr>
              <w:pStyle w:val="TableParagraph"/>
              <w:spacing w:line="236" w:lineRule="exact"/>
              <w:ind w:left="110"/>
              <w:rPr>
                <w:sz w:val="22"/>
              </w:rPr>
            </w:pPr>
            <w:r>
              <w:rPr>
                <w:sz w:val="22"/>
              </w:rPr>
              <w:t>6 y 7</w:t>
            </w:r>
          </w:p>
        </w:tc>
      </w:tr>
      <w:tr>
        <w:trPr>
          <w:trHeight w:val="251" w:hRule="atLeast"/>
        </w:trPr>
        <w:tc>
          <w:tcPr>
            <w:tcW w:w="1976" w:type="dxa"/>
          </w:tcPr>
          <w:p>
            <w:pPr>
              <w:pStyle w:val="TableParagraph"/>
              <w:rPr>
                <w:sz w:val="22"/>
              </w:rPr>
            </w:pPr>
            <w:r>
              <w:rPr>
                <w:sz w:val="22"/>
              </w:rPr>
              <w:t>Diciembre</w:t>
            </w:r>
          </w:p>
        </w:tc>
        <w:tc>
          <w:tcPr>
            <w:tcW w:w="1844" w:type="dxa"/>
          </w:tcPr>
          <w:p>
            <w:pPr>
              <w:pStyle w:val="TableParagraph"/>
              <w:ind w:left="110"/>
              <w:rPr>
                <w:sz w:val="22"/>
              </w:rPr>
            </w:pPr>
            <w:r>
              <w:rPr>
                <w:sz w:val="22"/>
              </w:rPr>
              <w:t>4 y 5</w:t>
            </w:r>
          </w:p>
        </w:tc>
      </w:tr>
    </w:tbl>
    <w:p>
      <w:pPr>
        <w:pStyle w:val="BodyText"/>
        <w:spacing w:before="8"/>
        <w:rPr>
          <w:sz w:val="21"/>
        </w:rPr>
      </w:pPr>
    </w:p>
    <w:p>
      <w:pPr>
        <w:pStyle w:val="BodyText"/>
        <w:ind w:left="100" w:right="184"/>
      </w:pPr>
      <w:r>
        <w:rPr/>
        <w:t>En los próximos días se hará llegar un calendario con las fechas disponibles para pruebas de pretemporada. El autódromo Víctor Borrat Fabini permanecerá cerrado para todo tipo de actividades hasta nuevo aviso.</w:t>
      </w:r>
    </w:p>
    <w:p>
      <w:pPr>
        <w:pStyle w:val="BodyText"/>
        <w:rPr>
          <w:sz w:val="24"/>
        </w:rPr>
      </w:pPr>
    </w:p>
    <w:p>
      <w:pPr>
        <w:pStyle w:val="BodyText"/>
        <w:spacing w:before="10"/>
        <w:rPr>
          <w:sz w:val="19"/>
        </w:rPr>
      </w:pPr>
    </w:p>
    <w:p>
      <w:pPr>
        <w:pStyle w:val="BodyText"/>
        <w:spacing w:line="242" w:lineRule="auto"/>
        <w:ind w:left="4121" w:right="4136"/>
        <w:jc w:val="center"/>
      </w:pPr>
      <w:r>
        <w:rPr/>
        <w:t>Comisión Directiva AUVO</w:t>
      </w:r>
    </w:p>
    <w:sectPr>
      <w:type w:val="continuous"/>
      <w:pgSz w:w="11920" w:h="16840"/>
      <w:pgMar w:top="1600" w:bottom="280" w:left="9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spacing w:line="232" w:lineRule="exact"/>
      <w:ind w:left="106"/>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dcterms:created xsi:type="dcterms:W3CDTF">2021-05-10T16:11:02Z</dcterms:created>
  <dcterms:modified xsi:type="dcterms:W3CDTF">2021-05-10T16:11:02Z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Microsoft® Word para Microsoft 365</vt:lpwstr>
  </property>
  <property fmtid="{D5CDD505-2E9C-101B-9397-08002B2CF9AE}" pid="4" name="LastSaved">
    <vt:filetime>2021-05-10T00:00:00Z</vt:filetime>
  </property>
</Properties>
</file>